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7.png" ContentType="image/png"/>
  <Override PartName="/word/media/rId33.png" ContentType="image/png"/>
  <Override PartName="/word/media/rId41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7.png" ContentType="image/png"/>
  <Override PartName="/word/media/rId111.png" ContentType="image/png"/>
  <Override PartName="/word/media/rId20.png" ContentType="image/png"/>
  <Override PartName="/word/media/rId24.png" ContentType="image/png"/>
  <Override PartName="/word/media/rId29.png" ContentType="image/png"/>
  <Override PartName="/word/media/image2.gif" ContentType="image/gif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"/>
      </w:pPr>
      <w:r>
        <w:t xml:space="preserve">Nota</w:t>
      </w:r>
      <w:r>
        <w:t xml:space="preserve"> </w:t>
      </w:r>
      <w:r>
        <w:t xml:space="preserve">técnica</w:t>
      </w:r>
      <w:r>
        <w:t xml:space="preserve"> </w:t>
      </w:r>
      <w:r>
        <w:t xml:space="preserve">-</w:t>
      </w:r>
      <w:r>
        <w:t xml:space="preserve"> </w:t>
      </w:r>
      <w:r>
        <w:t xml:space="preserve">mudanças</w:t>
      </w:r>
      <w:r>
        <w:t xml:space="preserve"> </w:t>
      </w:r>
      <w:r>
        <w:t xml:space="preserve">recentes</w:t>
      </w:r>
      <w:r>
        <w:t xml:space="preserve"> </w:t>
      </w:r>
      <w:r>
        <w:t xml:space="preserve">na</w:t>
      </w:r>
      <w:r>
        <w:t xml:space="preserve"> </w:t>
      </w:r>
      <w:r>
        <w:t xml:space="preserve">produção</w:t>
      </w:r>
      <w:r>
        <w:t xml:space="preserve"> </w:t>
      </w:r>
      <w:r>
        <w:t xml:space="preserve">habitacional</w:t>
      </w:r>
      <w:r>
        <w:t xml:space="preserve"> </w:t>
      </w:r>
      <w:r>
        <w:t xml:space="preserve">formal</w:t>
      </w:r>
      <w:r>
        <w:t xml:space="preserve"> </w:t>
      </w:r>
      <w:r>
        <w:t xml:space="preserve">em</w:t>
      </w:r>
      <w:r>
        <w:t xml:space="preserve"> </w:t>
      </w:r>
      <w:r>
        <w:t xml:space="preserve">Eixos</w:t>
      </w:r>
      <w:r>
        <w:t xml:space="preserve"> </w:t>
      </w:r>
      <w:r>
        <w:t xml:space="preserve">de</w:t>
      </w:r>
      <w:r>
        <w:t xml:space="preserve"> </w:t>
      </w:r>
      <w:r>
        <w:t xml:space="preserve">Estruturação</w:t>
      </w:r>
      <w:r>
        <w:t xml:space="preserve"> </w:t>
      </w:r>
      <w:r>
        <w:t xml:space="preserve">da</w:t>
      </w:r>
      <w:r>
        <w:t xml:space="preserve"> </w:t>
      </w:r>
      <w:r>
        <w:t xml:space="preserve">Transformação</w:t>
      </w:r>
      <w:r>
        <w:t xml:space="preserve"> </w:t>
      </w:r>
      <w:r>
        <w:t xml:space="preserve">Urbana</w:t>
      </w:r>
      <w:r>
        <w:t xml:space="preserve"> </w:t>
      </w:r>
      <w:r>
        <w:t xml:space="preserve">(EETU)</w:t>
      </w:r>
      <w:r>
        <w:t xml:space="preserve"> </w:t>
      </w:r>
      <w:r>
        <w:t xml:space="preserve">de</w:t>
      </w:r>
      <w:r>
        <w:t xml:space="preserve"> </w:t>
      </w:r>
      <w:r>
        <w:t xml:space="preserve">São</w:t>
      </w:r>
      <w:r>
        <w:t xml:space="preserve"> </w:t>
      </w:r>
      <w:r>
        <w:t xml:space="preserve">Paulo</w:t>
      </w:r>
    </w:p>
    <w:p>
      <w:pPr>
        <w:pStyle w:val="Author"/>
      </w:pPr>
      <w:r>
        <w:t xml:space="preserve">Por</w:t>
      </w:r>
      <w:r>
        <w:t xml:space="preserve"> </w:t>
      </w:r>
      <w:r>
        <w:t xml:space="preserve">Adriano</w:t>
      </w:r>
      <w:r>
        <w:t xml:space="preserve"> </w:t>
      </w:r>
      <w:r>
        <w:t xml:space="preserve">Borges</w:t>
      </w:r>
      <w:r>
        <w:t xml:space="preserve"> </w:t>
      </w:r>
      <w:r>
        <w:t xml:space="preserve">Costa</w:t>
      </w:r>
      <w:r>
        <w:t xml:space="preserve"> </w:t>
      </w:r>
      <w:r>
        <w:t xml:space="preserve">e</w:t>
      </w:r>
      <w:r>
        <w:t xml:space="preserve"> </w:t>
      </w:r>
      <w:r>
        <w:t xml:space="preserve">Evandro</w:t>
      </w:r>
      <w:r>
        <w:t xml:space="preserve"> </w:t>
      </w:r>
      <w:r>
        <w:t xml:space="preserve">Luis</w:t>
      </w:r>
    </w:p>
    <w:p>
      <w:pPr>
        <w:pStyle w:val="Date"/>
      </w:pPr>
      <w:r>
        <w:t xml:space="preserve">Em</w:t>
      </w:r>
      <w:r>
        <w:t xml:space="preserve"> </w:t>
      </w:r>
      <w:r>
        <w:t xml:space="preserve">27</w:t>
      </w:r>
      <w:r>
        <w:t xml:space="preserve"> </w:t>
      </w:r>
      <w:r>
        <w:t xml:space="preserve">de</w:t>
      </w:r>
      <w:r>
        <w:t xml:space="preserve"> </w:t>
      </w:r>
      <w:r>
        <w:t xml:space="preserve">abril</w:t>
      </w:r>
      <w:r>
        <w:t xml:space="preserve"> </w:t>
      </w:r>
      <w:r>
        <w:t xml:space="preserve">de</w:t>
      </w:r>
      <w:r>
        <w:t xml:space="preserve"> </w:t>
      </w:r>
      <w:r>
        <w:t xml:space="preserve">2024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8" w:name="introdução"/>
    <w:p>
      <w:pPr>
        <w:pStyle w:val="Ttulo1"/>
      </w:pPr>
      <w:r>
        <w:rPr>
          <w:rStyle w:val="SectionNumber"/>
        </w:rPr>
        <w:t xml:space="preserve">1</w:t>
      </w:r>
      <w:r>
        <w:tab/>
      </w:r>
      <w:r>
        <w:t xml:space="preserve">Introdução</w:t>
      </w:r>
    </w:p>
    <w:bookmarkStart w:id="23" w:name="legislação"/>
    <w:p>
      <w:pPr>
        <w:pStyle w:val="Ttulo2"/>
      </w:pPr>
      <w:r>
        <w:rPr>
          <w:rStyle w:val="SectionNumber"/>
        </w:rPr>
        <w:t xml:space="preserve">1.1</w:t>
      </w:r>
      <w:r>
        <w:tab/>
      </w:r>
      <w:r>
        <w:t xml:space="preserve">Legislação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6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Xee47f57c5ca614d83f87633b2c4aef614107921"/>
    <w:p>
      <w:pPr>
        <w:pStyle w:val="Ttulo2"/>
      </w:pPr>
      <w:r>
        <w:rPr>
          <w:rStyle w:val="SectionNumber"/>
        </w:rPr>
        <w:t xml:space="preserve">1.2</w:t>
      </w:r>
      <w:r>
        <w:tab/>
      </w:r>
      <w:r>
        <w:t xml:space="preserve">Mapa identificando os EETU por infraestrutura de transporte que ativa o eixo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7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End w:id="28"/>
    <w:bookmarkStart w:id="56" w:name="Xd3bef91c7f1a03cc3e0bd94b6ea26d827f92671"/>
    <w:p>
      <w:pPr>
        <w:pStyle w:val="Ttulo1"/>
      </w:pPr>
      <w:r>
        <w:rPr>
          <w:rStyle w:val="SectionNumber"/>
        </w:rPr>
        <w:t xml:space="preserve">2</w:t>
      </w:r>
      <w:r>
        <w:tab/>
      </w:r>
      <w:r>
        <w:t xml:space="preserve">Evolução recente do mercado imobiliário nos Eixos</w:t>
      </w:r>
    </w:p>
    <w:bookmarkStart w:id="32" w:name="Xd30c95850a257ce9049c2987388f2cdfbfd0d88"/>
    <w:p>
      <w:pPr>
        <w:pStyle w:val="Ttulo2"/>
      </w:pPr>
      <w:r>
        <w:rPr>
          <w:rStyle w:val="SectionNumber"/>
        </w:rPr>
        <w:t xml:space="preserve">2.1</w:t>
      </w:r>
      <w:r>
        <w:tab/>
      </w:r>
      <w:r>
        <w:t xml:space="preserve">Evolução do número de empreendimentos, unidades residenciais, área construída e área de terreno licenciados por tipo de empreendimento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8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Xd121b0579e3bb52b8110cd03944baaa34f43d2c"/>
    <w:p>
      <w:pPr>
        <w:pStyle w:val="Ttulo2"/>
      </w:pPr>
      <w:r>
        <w:rPr>
          <w:rStyle w:val="SectionNumber"/>
        </w:rPr>
        <w:t xml:space="preserve">2.2</w:t>
      </w:r>
      <w:r>
        <w:tab/>
      </w:r>
      <w:r>
        <w:t xml:space="preserve">Distribuição percentual das unidades residenciais licenciadas entre os perímetros das zonas atuais (períodos e regramentos selecionados)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0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Xd01b8bcdc34b644e47d70b587ce064edaac1a0e"/>
    <w:p>
      <w:pPr>
        <w:pStyle w:val="Ttulo2"/>
      </w:pPr>
      <w:r>
        <w:rPr>
          <w:rStyle w:val="SectionNumber"/>
        </w:rPr>
        <w:t xml:space="preserve">2.3</w:t>
      </w:r>
      <w:r>
        <w:tab/>
      </w:r>
      <w:r>
        <w:t xml:space="preserve">Variações no número de empreendimentos, unidades residenciais e áreas de construção e terreno licenciados no perímetro dos atuais EETU (regramentos selecionados)</w:t>
      </w:r>
    </w:p>
    <w:p>
      <w:pPr>
        <w:pStyle w:val="FirstParagraph"/>
      </w:pPr>
      <w:r>
        <w:drawing>
          <wp:inline>
            <wp:extent cx="5753100" cy="1931314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../../outputs/NotasTecnicas/alvaras_analise_eixos_files/table_shifts_alvaras_zoneamento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31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X7b9ef886b6721d26ccc74ba3985a178f87584c3"/>
    <w:p>
      <w:pPr>
        <w:pStyle w:val="Ttulo2"/>
      </w:pPr>
      <w:r>
        <w:rPr>
          <w:rStyle w:val="SectionNumber"/>
        </w:rPr>
        <w:t xml:space="preserve">2.4</w:t>
      </w:r>
      <w:r>
        <w:tab/>
      </w:r>
      <w:r>
        <w:t xml:space="preserve">Evolução do número de unidades por empreendimento, da área construída por unidade, da cota-parte e do número de pavimentos dos empreendimentos licenciados no perímetro dos atuais EETU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2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53100" cy="431482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4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Start w:id="51" w:name="Xabf37a12978b17b3fa74df1c948c9f762ae3ca7"/>
    <w:p>
      <w:pPr>
        <w:pStyle w:val="Ttulo2"/>
      </w:pPr>
      <w:r>
        <w:rPr>
          <w:rStyle w:val="SectionNumber"/>
        </w:rPr>
        <w:t xml:space="preserve">2.5</w:t>
      </w:r>
      <w:r>
        <w:tab/>
      </w:r>
      <w:r>
        <w:t xml:space="preserve">Distribuição percentual das unidades residenciais licenciadas entre os perímetros das zonas atuais por categoria (períodos selecionados e regramento aplicado)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5-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55" w:name="Xb843229d615872d2664901a96b2f3f115ba6379"/>
    <w:p>
      <w:pPr>
        <w:pStyle w:val="Ttulo2"/>
      </w:pPr>
      <w:r>
        <w:rPr>
          <w:rStyle w:val="SectionNumber"/>
        </w:rPr>
        <w:t xml:space="preserve">2.6</w:t>
      </w:r>
      <w:r>
        <w:tab/>
      </w:r>
      <w:r>
        <w:t xml:space="preserve">Evolução do número de unidades residenciais licenciadas no perímetro dos atuais EETU por tipo de empreendimento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6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End w:id="56"/>
    <w:bookmarkStart w:id="73" w:name="acessibilidade-importa"/>
    <w:p>
      <w:pPr>
        <w:pStyle w:val="Ttulo1"/>
      </w:pPr>
      <w:r>
        <w:rPr>
          <w:rStyle w:val="SectionNumber"/>
        </w:rPr>
        <w:t xml:space="preserve">3</w:t>
      </w:r>
      <w:r>
        <w:tab/>
      </w:r>
      <w:r>
        <w:t xml:space="preserve">Acessibilidade importa</w:t>
      </w:r>
    </w:p>
    <w:bookmarkStart w:id="60" w:name="X700c2605a5a77a6dd76ec07d608e9b65ae55320"/>
    <w:p>
      <w:pPr>
        <w:pStyle w:val="Ttulo2"/>
      </w:pPr>
      <w:r>
        <w:rPr>
          <w:rStyle w:val="SectionNumber"/>
        </w:rPr>
        <w:t xml:space="preserve">3.1</w:t>
      </w:r>
      <w:r>
        <w:tab/>
      </w:r>
      <w:r>
        <w:t xml:space="preserve">Localização de empreendimentos licenciados a partir dos atuais PDE e LPUOS por tipo de empreendimento (2014-2021)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7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d30bd310e0f0f96ff2ac600be3f6a64d12a5d43"/>
    <w:p>
      <w:pPr>
        <w:pStyle w:val="Ttulo2"/>
      </w:pPr>
      <w:r>
        <w:rPr>
          <w:rStyle w:val="SectionNumber"/>
        </w:rPr>
        <w:t xml:space="preserve">3.2</w:t>
      </w:r>
      <w:r>
        <w:tab/>
      </w:r>
      <w:r>
        <w:t xml:space="preserve">Distribuição dos empreendimentos em EETU’s em função de sua distância ao centro da cidade (regramento aplicado)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8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212880745b240b207f70cc7e1d5fd0a39df3089"/>
    <w:p>
      <w:pPr>
        <w:pStyle w:val="Ttulo2"/>
      </w:pPr>
      <w:r>
        <w:rPr>
          <w:rStyle w:val="SectionNumber"/>
        </w:rPr>
        <w:t xml:space="preserve">3.3</w:t>
      </w:r>
      <w:r>
        <w:tab/>
      </w:r>
      <w:r>
        <w:t xml:space="preserve">Acessibilidade de empregos em São Paulo - 2019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19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2" w:name="Xaffefe9f895732b6131ab2d36048aa2787423a0"/>
    <w:p>
      <w:pPr>
        <w:pStyle w:val="Ttulo2"/>
      </w:pPr>
      <w:r>
        <w:rPr>
          <w:rStyle w:val="SectionNumber"/>
        </w:rPr>
        <w:t xml:space="preserve">3.4</w:t>
      </w:r>
      <w:r>
        <w:tab/>
      </w:r>
      <w:r>
        <w:t xml:space="preserve">Distribuição dos empreendimentos em EETU’s em função de sua acessibilidade (regramento aplicado)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0-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End w:id="73"/>
    <w:bookmarkStart w:id="106" w:name="eixo-não-é-tudo-igual"/>
    <w:p>
      <w:pPr>
        <w:pStyle w:val="Ttulo1"/>
      </w:pPr>
      <w:r>
        <w:rPr>
          <w:rStyle w:val="SectionNumber"/>
        </w:rPr>
        <w:t xml:space="preserve">4</w:t>
      </w:r>
      <w:r>
        <w:tab/>
      </w:r>
      <w:r>
        <w:t xml:space="preserve">Eixo não é tudo igual</w:t>
      </w:r>
    </w:p>
    <w:bookmarkStart w:id="77" w:name="Xd935e3c2fd649cc3b48231a51e0f68a721ca9a3"/>
    <w:p>
      <w:pPr>
        <w:pStyle w:val="Ttulo2"/>
      </w:pPr>
      <w:r>
        <w:rPr>
          <w:rStyle w:val="SectionNumber"/>
        </w:rPr>
        <w:t xml:space="preserve">4.1</w:t>
      </w:r>
      <w:r>
        <w:tab/>
      </w:r>
      <w:r>
        <w:t xml:space="preserve">Evolução do número de empreendimentos licenciados por tipo de Eixo de Adensamento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1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X85118c7eaa775f5cda7f06d702d5c1140a9d7f4"/>
    <w:p>
      <w:pPr>
        <w:pStyle w:val="Ttulo2"/>
      </w:pPr>
      <w:r>
        <w:rPr>
          <w:rStyle w:val="SectionNumber"/>
        </w:rPr>
        <w:t xml:space="preserve">4.2</w:t>
      </w:r>
      <w:r>
        <w:tab/>
      </w:r>
      <w:r>
        <w:t xml:space="preserve">Evolução do número de empreendimentos licenciados por tipo de Eixo de Adensamento e por categoria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2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X21a8d1bf8f4b1715e360e8d7bbf1df01f0efc59"/>
    <w:p>
      <w:pPr>
        <w:pStyle w:val="Ttulo2"/>
      </w:pPr>
      <w:r>
        <w:rPr>
          <w:rStyle w:val="SectionNumber"/>
        </w:rPr>
        <w:t xml:space="preserve">4.3</w:t>
      </w:r>
      <w:r>
        <w:tab/>
      </w:r>
      <w:r>
        <w:t xml:space="preserve">Infraestruturas de transporte de referência por densidade de unidades residenciais lançadas a partir dos atuais PDE e LPUOS (2014-2021)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3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X5ac863093dc7349e633e5b7d908e4941754d5e9"/>
    <w:p>
      <w:pPr>
        <w:pStyle w:val="Ttulo2"/>
      </w:pPr>
      <w:r>
        <w:rPr>
          <w:rStyle w:val="SectionNumber"/>
        </w:rPr>
        <w:t xml:space="preserve">4.4</w:t>
      </w:r>
      <w:r>
        <w:tab/>
      </w:r>
      <w:r>
        <w:t xml:space="preserve">Localização das infraestruturas de transporte de referência por densidade de unidades residenciais lançadas a partir dos atuais PDE e LPUOS (2014-2021)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4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Xf9d0e2aa27e4af52f58b84c6360a896c5cd56e3"/>
    <w:p>
      <w:pPr>
        <w:pStyle w:val="Ttulo2"/>
      </w:pPr>
      <w:r>
        <w:rPr>
          <w:rStyle w:val="SectionNumber"/>
        </w:rPr>
        <w:t xml:space="preserve">4.5</w:t>
      </w:r>
      <w:r>
        <w:tab/>
      </w:r>
      <w:r>
        <w:t xml:space="preserve">Infraestruturas de transporte de referência por densidade de unidades residenciais ERM lançadas a partir dos atuais PDE e LPUOS (2014-2021)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5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7" w:name="X634e64752b23ace725c6133632490fbe3139ab4"/>
    <w:p>
      <w:pPr>
        <w:pStyle w:val="Ttulo2"/>
      </w:pPr>
      <w:r>
        <w:rPr>
          <w:rStyle w:val="SectionNumber"/>
        </w:rPr>
        <w:t xml:space="preserve">4.6</w:t>
      </w:r>
      <w:r>
        <w:tab/>
      </w:r>
      <w:r>
        <w:t xml:space="preserve">Infraestruturas de transporte de referência por densidade de unidades residenciais ERP lançadas a partir dos atuais PDE e LPUOS (2014-2021)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6-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101" w:name="X8b826c8d94ff25b5ef67b5987b4561b72ba4a7d"/>
    <w:p>
      <w:pPr>
        <w:pStyle w:val="Ttulo2"/>
      </w:pPr>
      <w:r>
        <w:rPr>
          <w:rStyle w:val="SectionNumber"/>
        </w:rPr>
        <w:t xml:space="preserve">4.7</w:t>
      </w:r>
      <w:r>
        <w:tab/>
      </w:r>
      <w:r>
        <w:t xml:space="preserve">Diferencial de unidades licenciadas em Eixos em função da distância ao centro - regramento anterior vs regramento atual)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7-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1"/>
    <w:bookmarkStart w:id="105" w:name="Xbf44e83160db2e5698e413a9beced1c16dae811"/>
    <w:p>
      <w:pPr>
        <w:pStyle w:val="Ttulo2"/>
      </w:pPr>
      <w:r>
        <w:rPr>
          <w:rStyle w:val="SectionNumber"/>
        </w:rPr>
        <w:t xml:space="preserve">4.8</w:t>
      </w:r>
      <w:r>
        <w:tab/>
      </w:r>
      <w:r>
        <w:t xml:space="preserve">Diferencial de unidades licenciadas em Eixos em função da acessibilidade de empregos - regramento anterior vs regramento atual)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8-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End w:id="106"/>
    <w:bookmarkStart w:id="115" w:name="o-potencial-dos-eixos"/>
    <w:p>
      <w:pPr>
        <w:pStyle w:val="Ttulo1"/>
      </w:pPr>
      <w:r>
        <w:rPr>
          <w:rStyle w:val="SectionNumber"/>
        </w:rPr>
        <w:t xml:space="preserve">5</w:t>
      </w:r>
      <w:r>
        <w:tab/>
      </w:r>
      <w:r>
        <w:t xml:space="preserve">O potencial dos eixos</w:t>
      </w:r>
    </w:p>
    <w:bookmarkStart w:id="110" w:name="mapa-zonas-próximas-a-eixos"/>
    <w:p>
      <w:pPr>
        <w:pStyle w:val="Ttulo2"/>
      </w:pPr>
      <w:r>
        <w:rPr>
          <w:rStyle w:val="SectionNumber"/>
        </w:rPr>
        <w:t xml:space="preserve">5.1</w:t>
      </w:r>
      <w:r>
        <w:tab/>
      </w:r>
      <w:r>
        <w:t xml:space="preserve">Mapa zonas próximas a eixos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29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6e6bf259c04a173bcae5241e4afa279970730de"/>
    <w:p>
      <w:pPr>
        <w:pStyle w:val="Ttulo2"/>
      </w:pPr>
      <w:r>
        <w:rPr>
          <w:rStyle w:val="SectionNumber"/>
        </w:rPr>
        <w:t xml:space="preserve">5.2</w:t>
      </w:r>
      <w:r>
        <w:tab/>
      </w:r>
      <w:r>
        <w:t xml:space="preserve">Evolução da área de terreno por regramento selecionado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2_EixoNaoETudoIgual/alvaras_analise_eixos_files/figure-docx/unnamed-chunk-30-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End w:id="115"/>
    <w:sectPr w:rsidR="001418C5" w:rsidRPr="00BF5B2D" w:rsidSect="001418C5">
      <w:footerReference r:id="rId10" w:type="default"/>
      <w:headerReference r:id="rId9" w:type="first"/>
      <w:footerReference r:id="rId11" w:type="first"/>
      <w:pgSz w:h="16840" w:w="11900"/>
      <w:pgMar w:bottom="1701" w:footer="709" w:gutter="0" w:header="709" w:left="1418" w:right="1412" w:top="1985"/>
      <w:cols w:space="708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A43660" w14:textId="77777777" w:rsidR="001418C5" w:rsidRPr="00BF5B2D" w:rsidRDefault="001418C5" w:rsidP="001418C5">
    <w:pPr>
      <w:pStyle w:val="Rodap"/>
      <w:rPr>
        <w:rFonts w:ascii="Verdana" w:hAnsi="Verdana"/>
        <w:color w:val="000000" w:themeColor="text1"/>
        <w:sz w:val="16"/>
        <w:szCs w:val="16"/>
        <w:lang w:val="pt-BR"/>
      </w:rPr>
    </w:pPr>
    <w:r w:rsidRPr="00BF5B2D">
      <w:rPr>
        <w:rFonts w:ascii="Verdana" w:hAnsi="Verdana"/>
        <w:color w:val="000000" w:themeColor="text1"/>
        <w:sz w:val="16"/>
        <w:szCs w:val="16"/>
        <w:lang w:val="pt-BR"/>
      </w:rPr>
      <w:t>Rua Quatá, 300 – Vila Olímpia 04546-042 São Paulo SP Brasil</w:t>
    </w:r>
  </w:p>
  <w:p w14:paraId="201DFFD6" w14:textId="23709CC1" w:rsidR="007715F2" w:rsidRPr="001418C5" w:rsidRDefault="001418C5" w:rsidP="001418C5">
    <w:pPr>
      <w:pStyle w:val="Rodap"/>
      <w:rPr>
        <w:rFonts w:ascii="Verdana" w:hAnsi="Verdana"/>
        <w:sz w:val="16"/>
        <w:szCs w:val="16"/>
      </w:rPr>
    </w:pPr>
    <w:r w:rsidRPr="007715F2">
      <w:rPr>
        <w:rFonts w:ascii="Verdana" w:hAnsi="Verdana"/>
        <w:sz w:val="16"/>
        <w:szCs w:val="16"/>
      </w:rPr>
      <w:t>55 11 4504</w:t>
    </w:r>
    <w:r>
      <w:rPr>
        <w:rFonts w:ascii="Verdana" w:hAnsi="Verdana"/>
        <w:sz w:val="16"/>
        <w:szCs w:val="16"/>
      </w:rPr>
      <w:t xml:space="preserve">-2400 | </w:t>
    </w:r>
    <w:hyperlink r:id="rId1" w:history="1">
      <w:r w:rsidRPr="00BF5B2D">
        <w:rPr>
          <w:rStyle w:val="Hyperlink"/>
          <w:rFonts w:ascii="Verdana" w:hAnsi="Verdana"/>
          <w:sz w:val="16"/>
          <w:szCs w:val="16"/>
        </w:rPr>
        <w:t>www.insper.edu.br</w:t>
      </w:r>
    </w:hyperlink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31F01" w14:textId="210EEB55" w:rsidR="001418C5" w:rsidRPr="00BF5B2D" w:rsidRDefault="001418C5" w:rsidP="001418C5">
    <w:pPr>
      <w:pStyle w:val="Rodap"/>
      <w:rPr>
        <w:rFonts w:ascii="Verdana" w:hAnsi="Verdana"/>
        <w:color w:val="000000" w:themeColor="text1"/>
        <w:sz w:val="16"/>
        <w:szCs w:val="16"/>
        <w:lang w:val="pt-BR"/>
      </w:rPr>
    </w:pPr>
    <w:r w:rsidRPr="00BF5B2D">
      <w:rPr>
        <w:rFonts w:ascii="Verdana" w:hAnsi="Verdana"/>
        <w:color w:val="000000" w:themeColor="text1"/>
        <w:sz w:val="16"/>
        <w:szCs w:val="16"/>
        <w:lang w:val="pt-BR"/>
      </w:rPr>
      <w:t>Rua Quatá, 300 – Vila Olímpia 04546-042 São Paulo SP Brasil</w:t>
    </w:r>
  </w:p>
  <w:p w14:paraId="5980573C" w14:textId="63FAD17E" w:rsidR="001418C5" w:rsidRPr="001418C5" w:rsidRDefault="001418C5">
    <w:pPr>
      <w:pStyle w:val="Rodap"/>
      <w:rPr>
        <w:rFonts w:ascii="Verdana" w:hAnsi="Verdana"/>
        <w:sz w:val="16"/>
        <w:szCs w:val="16"/>
      </w:rPr>
    </w:pPr>
    <w:r w:rsidRPr="007715F2">
      <w:rPr>
        <w:rFonts w:ascii="Verdana" w:hAnsi="Verdana"/>
        <w:sz w:val="16"/>
        <w:szCs w:val="16"/>
      </w:rPr>
      <w:t>55 11 4504</w:t>
    </w:r>
    <w:r>
      <w:rPr>
        <w:rFonts w:ascii="Verdana" w:hAnsi="Verdana"/>
        <w:sz w:val="16"/>
        <w:szCs w:val="16"/>
      </w:rPr>
      <w:t xml:space="preserve">-2400 | </w:t>
    </w:r>
    <w:hyperlink r:id="rId1" w:history="1">
      <w:r w:rsidRPr="00BF5B2D">
        <w:rPr>
          <w:rStyle w:val="Hyperlink"/>
          <w:rFonts w:ascii="Verdana" w:hAnsi="Verdana"/>
          <w:sz w:val="16"/>
          <w:szCs w:val="16"/>
        </w:rPr>
        <w:t>www.insper.edu.br</w:t>
      </w:r>
    </w:hyperlink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7192C" w14:textId="77777777" w:rsidR="001418C5" w:rsidRDefault="001418C5" w:rsidP="001418C5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60288" behindDoc="0" locked="0" layoutInCell="1" allowOverlap="1" wp14:anchorId="460DB38E" wp14:editId="1124C9E7">
          <wp:simplePos x="0" y="0"/>
          <wp:positionH relativeFrom="column">
            <wp:posOffset>3888417</wp:posOffset>
          </wp:positionH>
          <wp:positionV relativeFrom="paragraph">
            <wp:posOffset>-442595</wp:posOffset>
          </wp:positionV>
          <wp:extent cx="2071784" cy="1172708"/>
          <wp:effectExtent l="0" t="0" r="0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opo-relatori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71784" cy="117270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339F2045" wp14:editId="7AA5BEC5">
          <wp:simplePos x="0" y="0"/>
          <wp:positionH relativeFrom="column">
            <wp:posOffset>-1020</wp:posOffset>
          </wp:positionH>
          <wp:positionV relativeFrom="paragraph">
            <wp:posOffset>111916</wp:posOffset>
          </wp:positionV>
          <wp:extent cx="816964" cy="286596"/>
          <wp:effectExtent l="0" t="0" r="0" b="5715"/>
          <wp:wrapNone/>
          <wp:docPr id="5" name="Imagem 5" descr="Insper/Logo%20Insper/Insper-pos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per/Logo%20Insper/Insper-pos.g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497" cy="307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8C799B1" w14:textId="77777777" w:rsidR="001418C5" w:rsidRDefault="001418C5">
    <w:pPr>
      <w:pStyle w:val="Cabealho"/>
    </w:pPr>
  </w:p>
</w:hdr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embedSystemFonts/>
  <w:proofState w:grammar="clean" w:spelling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eastAsia="ja-JP"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/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1418C5"/>
    <w:rPr>
      <w:rFonts w:ascii="Verdana" w:cs="Times New Roman" w:eastAsia="Cambria" w:hAnsi="Verdana"/>
    </w:rPr>
  </w:style>
  <w:style w:styleId="Ttulo1" w:type="paragraph">
    <w:name w:val="heading 1"/>
    <w:basedOn w:val="Normal"/>
    <w:next w:val="Normal"/>
    <w:link w:val="Ttulo1Char"/>
    <w:uiPriority w:val="9"/>
    <w:qFormat/>
    <w:rsid w:val="001418C5"/>
    <w:pPr>
      <w:keepNext/>
      <w:keepLines/>
      <w:spacing w:before="240"/>
      <w:outlineLvl w:val="0"/>
    </w:pPr>
    <w:rPr>
      <w:rFonts w:cstheme="majorBidi" w:eastAsiaTheme="majorEastAsia"/>
      <w:b/>
      <w:color w:themeColor="text1" w:val="000000"/>
      <w:sz w:val="26"/>
      <w:szCs w:val="32"/>
    </w:rPr>
  </w:style>
  <w:style w:styleId="Ttulo2" w:type="paragraph">
    <w:name w:val="heading 2"/>
    <w:basedOn w:val="Normal"/>
    <w:next w:val="Normal"/>
    <w:link w:val="Ttulo2Char"/>
    <w:uiPriority w:val="9"/>
    <w:unhideWhenUsed/>
    <w:qFormat/>
    <w:rsid w:val="00E77979"/>
    <w:pPr>
      <w:keepNext/>
      <w:keepLines/>
      <w:spacing w:after="100" w:afterAutospacing="1" w:before="40"/>
      <w:outlineLvl w:val="1"/>
    </w:pPr>
    <w:rPr>
      <w:rFonts w:cstheme="majorBidi" w:eastAsiaTheme="majorEastAsia"/>
      <w:b/>
      <w:color w:themeColor="text1" w:val="000000"/>
      <w:sz w:val="22"/>
      <w:szCs w:val="26"/>
    </w:rPr>
  </w:style>
  <w:style w:default="1" w:styleId="Fontepargpadro" w:type="character">
    <w:name w:val="Default Paragraph Font"/>
    <w:uiPriority w:val="1"/>
    <w:unhideWhenUsed/>
  </w:style>
  <w:style w:default="1" w:styleId="Tabe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emlista" w:type="numbering">
    <w:name w:val="No List"/>
    <w:uiPriority w:val="99"/>
    <w:semiHidden/>
    <w:unhideWhenUsed/>
  </w:style>
  <w:style w:styleId="Cabealho" w:type="paragraph">
    <w:name w:val="header"/>
    <w:basedOn w:val="Normal"/>
    <w:link w:val="CabealhoChar"/>
    <w:uiPriority w:val="99"/>
    <w:unhideWhenUsed/>
    <w:rsid w:val="001418C5"/>
    <w:pPr>
      <w:tabs>
        <w:tab w:pos="4320" w:val="center"/>
        <w:tab w:pos="8640" w:val="right"/>
      </w:tabs>
    </w:pPr>
    <w:rPr>
      <w:rFonts w:cstheme="minorBidi" w:eastAsiaTheme="minorHAnsi"/>
    </w:rPr>
  </w:style>
  <w:style w:customStyle="1" w:styleId="CabealhoChar" w:type="character">
    <w:name w:val="Cabeçalho Char"/>
    <w:basedOn w:val="Fontepargpadro"/>
    <w:link w:val="Cabealho"/>
    <w:uiPriority w:val="99"/>
    <w:rsid w:val="001418C5"/>
    <w:rPr>
      <w:rFonts w:ascii="Verdana" w:hAnsi="Verdana"/>
    </w:rPr>
  </w:style>
  <w:style w:styleId="Rodap" w:type="paragraph">
    <w:name w:val="footer"/>
    <w:basedOn w:val="Normal"/>
    <w:link w:val="RodapChar"/>
    <w:uiPriority w:val="99"/>
    <w:unhideWhenUsed/>
    <w:rsid w:val="00003E00"/>
    <w:pPr>
      <w:tabs>
        <w:tab w:pos="4320" w:val="center"/>
        <w:tab w:pos="8640" w:val="right"/>
      </w:tabs>
    </w:pPr>
    <w:rPr>
      <w:rFonts w:asciiTheme="minorHAnsi" w:cstheme="minorBidi" w:eastAsiaTheme="minorHAnsi" w:hAnsiTheme="minorHAnsi"/>
    </w:rPr>
  </w:style>
  <w:style w:customStyle="1" w:styleId="RodapChar" w:type="character">
    <w:name w:val="Rodapé Char"/>
    <w:basedOn w:val="Fontepargpadro"/>
    <w:link w:val="Rodap"/>
    <w:uiPriority w:val="99"/>
    <w:rsid w:val="00003E00"/>
  </w:style>
  <w:style w:styleId="Textodebalo" w:type="paragraph">
    <w:name w:val="Balloon Text"/>
    <w:basedOn w:val="Normal"/>
    <w:link w:val="TextodebaloChar"/>
    <w:uiPriority w:val="99"/>
    <w:semiHidden/>
    <w:unhideWhenUsed/>
    <w:rsid w:val="00A334ED"/>
    <w:rPr>
      <w:rFonts w:ascii="Lucida Grande" w:cs="Lucida Grande" w:hAnsi="Lucida Grande"/>
      <w:sz w:val="18"/>
      <w:szCs w:val="18"/>
    </w:rPr>
  </w:style>
  <w:style w:customStyle="1" w:styleId="TextodebaloChar" w:type="character">
    <w:name w:val="Texto de balão Char"/>
    <w:basedOn w:val="Fontepargpadro"/>
    <w:link w:val="Textodebalo"/>
    <w:uiPriority w:val="99"/>
    <w:semiHidden/>
    <w:rsid w:val="00A334ED"/>
    <w:rPr>
      <w:rFonts w:ascii="Lucida Grande" w:cs="Lucida Grande" w:eastAsia="Cambria" w:hAnsi="Lucida Grande"/>
      <w:sz w:val="18"/>
      <w:szCs w:val="18"/>
    </w:rPr>
  </w:style>
  <w:style w:styleId="Hyperlink" w:type="character">
    <w:name w:val="Hyperlink"/>
    <w:basedOn w:val="Fontepargpadro"/>
    <w:uiPriority w:val="99"/>
    <w:unhideWhenUsed/>
    <w:rsid w:val="001418C5"/>
    <w:rPr>
      <w:color w:val="C00026"/>
      <w:u w:val="single"/>
    </w:rPr>
  </w:style>
  <w:style w:styleId="MenoPendente" w:type="character">
    <w:name w:val="Unresolved Mention"/>
    <w:basedOn w:val="Fontepargpadro"/>
    <w:uiPriority w:val="99"/>
    <w:rsid w:val="00BF5B2D"/>
    <w:rPr>
      <w:color w:val="605E5C"/>
      <w:shd w:color="auto" w:fill="E1DFDD" w:val="clear"/>
    </w:rPr>
  </w:style>
  <w:style w:styleId="Ttulo" w:type="paragraph">
    <w:name w:val="Title"/>
    <w:basedOn w:val="Normal"/>
    <w:next w:val="Normal"/>
    <w:link w:val="TtuloChar"/>
    <w:uiPriority w:val="10"/>
    <w:qFormat/>
    <w:rsid w:val="001418C5"/>
    <w:pPr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tuloChar" w:type="character">
    <w:name w:val="Título Char"/>
    <w:basedOn w:val="Fontepargpadro"/>
    <w:link w:val="Ttulo"/>
    <w:uiPriority w:val="10"/>
    <w:rsid w:val="001418C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tulo1Char" w:type="character">
    <w:name w:val="Título 1 Char"/>
    <w:basedOn w:val="Fontepargpadro"/>
    <w:link w:val="Ttulo1"/>
    <w:uiPriority w:val="9"/>
    <w:rsid w:val="001418C5"/>
    <w:rPr>
      <w:rFonts w:ascii="Verdana" w:cstheme="majorBidi" w:eastAsiaTheme="majorEastAsia" w:hAnsi="Verdana"/>
      <w:b/>
      <w:color w:themeColor="text1" w:val="000000"/>
      <w:sz w:val="26"/>
      <w:szCs w:val="32"/>
    </w:rPr>
  </w:style>
  <w:style w:customStyle="1" w:styleId="Ttulo2Char" w:type="character">
    <w:name w:val="Título 2 Char"/>
    <w:basedOn w:val="Fontepargpadro"/>
    <w:link w:val="Ttulo2"/>
    <w:uiPriority w:val="9"/>
    <w:rsid w:val="00E77979"/>
    <w:rPr>
      <w:rFonts w:ascii="Verdana" w:cstheme="majorBidi" w:eastAsiaTheme="majorEastAsia" w:hAnsi="Verdana"/>
      <w:b/>
      <w:color w:themeColor="text1" w:val="000000"/>
      <w:sz w:val="22"/>
      <w:szCs w:val="26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Id="rId11" Target="footer2.xml" Type="http://schemas.openxmlformats.org/officeDocument/2006/relationships/footer" /><Relationship Type="http://schemas.openxmlformats.org/officeDocument/2006/relationships/image" Id="rId37" Target="media/rId37.png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9" Target="media/rId29.png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nsper.edu.br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nsper.edu.br/" TargetMode="External"/></Relationships>
</file>

<file path=word/_rels/footnotes.xml.rels><?xml version="1.0" encoding="UTF-8"?><Relationships xmlns="http://schemas.openxmlformats.org/package/2006/relationships" /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475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Nota técnica - mudanças recentes na produção habitacional formal em Eixos de Estruturação da Transformação Urbana (EETU) de São Paulo</dc:title>
  <dc:creator>Por Adriano Borges Costa e Evandro Luis</dc:creator>
  <cp:keywords/>
  <dcterms:created xsi:type="dcterms:W3CDTF">2024-04-27T15:06:14Z</dcterms:created>
  <dcterms:modified xsi:type="dcterms:W3CDTF">2024-04-27T15:06:14Z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Em 27 de abril de 2024</vt:lpwstr>
  </property>
</Properties>
</file>